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22ADA" w14:textId="0DF4347F" w:rsidR="00A45C68" w:rsidRPr="00E02213" w:rsidRDefault="00D505C1" w:rsidP="00191117">
      <w:pPr>
        <w:tabs>
          <w:tab w:val="left" w:pos="3337"/>
        </w:tabs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E02213">
        <w:rPr>
          <w:rFonts w:ascii="Arial" w:hAnsi="Arial" w:cs="Arial"/>
          <w:b/>
          <w:bCs/>
          <w:sz w:val="28"/>
          <w:szCs w:val="28"/>
        </w:rPr>
        <w:t>IZJAVA</w:t>
      </w:r>
    </w:p>
    <w:p w14:paraId="0A7973F0" w14:textId="77777777" w:rsidR="0057057A" w:rsidRPr="00E02213" w:rsidRDefault="0057057A" w:rsidP="00E02213">
      <w:pPr>
        <w:tabs>
          <w:tab w:val="left" w:pos="3337"/>
        </w:tabs>
        <w:spacing w:after="0"/>
        <w:jc w:val="center"/>
        <w:rPr>
          <w:rFonts w:ascii="Arial" w:hAnsi="Arial" w:cs="Arial"/>
          <w:b/>
          <w:bCs/>
        </w:rPr>
      </w:pPr>
    </w:p>
    <w:p w14:paraId="6DB6A654" w14:textId="4EE21C18" w:rsidR="00D505C1" w:rsidRPr="00D505C1" w:rsidRDefault="00D505C1" w:rsidP="0057057A">
      <w:pPr>
        <w:tabs>
          <w:tab w:val="left" w:pos="3337"/>
        </w:tabs>
        <w:spacing w:after="0"/>
        <w:jc w:val="center"/>
        <w:rPr>
          <w:rFonts w:ascii="Arial" w:hAnsi="Arial" w:cs="Arial"/>
        </w:rPr>
      </w:pPr>
      <w:r w:rsidRPr="00D505C1">
        <w:rPr>
          <w:rFonts w:ascii="Arial" w:hAnsi="Arial" w:cs="Arial"/>
        </w:rPr>
        <w:t>opskrbljivača električne energije o udjelu električne energije iz OIE</w:t>
      </w:r>
    </w:p>
    <w:p w14:paraId="155DEDED" w14:textId="331D9D49" w:rsidR="00D505C1" w:rsidRDefault="00D505C1" w:rsidP="00191117">
      <w:pPr>
        <w:tabs>
          <w:tab w:val="left" w:pos="3337"/>
        </w:tabs>
        <w:spacing w:after="0"/>
        <w:jc w:val="center"/>
        <w:rPr>
          <w:rFonts w:ascii="Arial" w:hAnsi="Arial" w:cs="Arial"/>
        </w:rPr>
      </w:pPr>
      <w:r w:rsidRPr="00D505C1">
        <w:rPr>
          <w:rFonts w:ascii="Arial" w:hAnsi="Arial" w:cs="Arial"/>
        </w:rPr>
        <w:t>u ukupnoj potrošnji električne energije</w:t>
      </w:r>
    </w:p>
    <w:p w14:paraId="1C9C6554" w14:textId="77777777" w:rsidR="00191117" w:rsidRDefault="00191117" w:rsidP="00191117">
      <w:pPr>
        <w:tabs>
          <w:tab w:val="left" w:pos="3337"/>
        </w:tabs>
        <w:spacing w:after="0"/>
        <w:jc w:val="center"/>
        <w:rPr>
          <w:rFonts w:ascii="Arial" w:hAnsi="Arial" w:cs="Arial"/>
        </w:rPr>
      </w:pPr>
    </w:p>
    <w:p w14:paraId="580898DF" w14:textId="36E814D8" w:rsidR="00D72BD1" w:rsidRDefault="00501440" w:rsidP="004C79E8">
      <w:pPr>
        <w:tabs>
          <w:tab w:val="left" w:pos="333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</w:t>
      </w:r>
      <w:r w:rsidRPr="00501440">
        <w:rPr>
          <w:rFonts w:ascii="Arial" w:hAnsi="Arial" w:cs="Arial"/>
        </w:rPr>
        <w:t>18. Uredbe o kriterijima za plaćanje umanjene naknade za obnovljive izvore energije i visokoučinkovitu kogeneraciju („Narodne novine“, br. 31/23)</w:t>
      </w:r>
      <w:r>
        <w:rPr>
          <w:rFonts w:ascii="Arial" w:hAnsi="Arial" w:cs="Arial"/>
        </w:rPr>
        <w:t>, o</w:t>
      </w:r>
      <w:r w:rsidR="004C79E8">
        <w:rPr>
          <w:rFonts w:ascii="Arial" w:hAnsi="Arial" w:cs="Arial"/>
        </w:rPr>
        <w:t>vom izjavom</w:t>
      </w:r>
      <w:r w:rsidR="004C79E8" w:rsidRPr="00D505C1">
        <w:rPr>
          <w:rFonts w:ascii="Arial" w:hAnsi="Arial" w:cs="Arial"/>
        </w:rPr>
        <w:t xml:space="preserve"> poduzetnik dokazuje da je smanjio ugljični otisak potrošnje električne energije</w:t>
      </w:r>
      <w:r>
        <w:rPr>
          <w:rFonts w:ascii="Arial" w:hAnsi="Arial" w:cs="Arial"/>
        </w:rPr>
        <w:t>,</w:t>
      </w:r>
      <w:r w:rsidR="004C79E8">
        <w:rPr>
          <w:rFonts w:ascii="Arial" w:hAnsi="Arial" w:cs="Arial"/>
        </w:rPr>
        <w:t xml:space="preserve"> na način da je </w:t>
      </w:r>
      <w:r w:rsidR="004C79E8" w:rsidRPr="00D505C1">
        <w:rPr>
          <w:rFonts w:ascii="Arial" w:hAnsi="Arial" w:cs="Arial"/>
        </w:rPr>
        <w:t>osigur</w:t>
      </w:r>
      <w:r w:rsidR="004C79E8">
        <w:rPr>
          <w:rFonts w:ascii="Arial" w:hAnsi="Arial" w:cs="Arial"/>
        </w:rPr>
        <w:t>ao</w:t>
      </w:r>
      <w:r w:rsidR="004C79E8" w:rsidRPr="00D505C1">
        <w:rPr>
          <w:rFonts w:ascii="Arial" w:hAnsi="Arial" w:cs="Arial"/>
        </w:rPr>
        <w:t xml:space="preserve"> minimalno 60% potrebne električne energije iz </w:t>
      </w:r>
      <w:r w:rsidR="004C79E8">
        <w:rPr>
          <w:rFonts w:ascii="Arial" w:hAnsi="Arial" w:cs="Arial"/>
        </w:rPr>
        <w:t xml:space="preserve">obnovljivih izvora energije (dalje: OIE). </w:t>
      </w:r>
    </w:p>
    <w:p w14:paraId="18D3232F" w14:textId="0D10DB9B" w:rsidR="00D505C1" w:rsidRDefault="004C79E8" w:rsidP="004C79E8">
      <w:pPr>
        <w:tabs>
          <w:tab w:val="left" w:pos="333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_____________________(</w:t>
      </w:r>
      <w:r w:rsidRPr="004C79E8">
        <w:rPr>
          <w:rFonts w:ascii="Arial" w:hAnsi="Arial" w:cs="Arial"/>
          <w:i/>
          <w:iCs/>
        </w:rPr>
        <w:t>naziv opskrbljivača električne energije</w:t>
      </w:r>
      <w:r>
        <w:rPr>
          <w:rFonts w:ascii="Arial" w:hAnsi="Arial" w:cs="Arial"/>
        </w:rPr>
        <w:t>)</w:t>
      </w:r>
      <w:r w:rsidRPr="00D505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potvrđuje </w:t>
      </w:r>
      <w:r w:rsidRPr="00D505C1">
        <w:rPr>
          <w:rFonts w:ascii="Arial" w:hAnsi="Arial" w:cs="Arial"/>
        </w:rPr>
        <w:t xml:space="preserve">udjel električne energije iz OIE u ukupnoj potrošnji električne energije poduzetnika </w:t>
      </w:r>
      <w:r w:rsidR="00E574FA">
        <w:rPr>
          <w:rFonts w:ascii="Arial" w:hAnsi="Arial" w:cs="Arial"/>
        </w:rPr>
        <w:t>__________________(</w:t>
      </w:r>
      <w:r w:rsidR="00E574FA">
        <w:rPr>
          <w:rFonts w:ascii="Arial" w:hAnsi="Arial" w:cs="Arial"/>
          <w:i/>
          <w:iCs/>
        </w:rPr>
        <w:t xml:space="preserve">naziv </w:t>
      </w:r>
      <w:r w:rsidR="00E574FA" w:rsidRPr="00E574FA">
        <w:rPr>
          <w:rFonts w:ascii="Arial" w:hAnsi="Arial" w:cs="Arial"/>
        </w:rPr>
        <w:t>poduzetnika</w:t>
      </w:r>
      <w:r w:rsidR="00E574FA">
        <w:rPr>
          <w:rFonts w:ascii="Arial" w:hAnsi="Arial" w:cs="Arial"/>
        </w:rPr>
        <w:t>)</w:t>
      </w:r>
      <w:r w:rsidR="00501440">
        <w:rPr>
          <w:rFonts w:ascii="Arial" w:hAnsi="Arial" w:cs="Arial"/>
        </w:rPr>
        <w:t>,</w:t>
      </w:r>
      <w:r w:rsidR="00E574FA">
        <w:rPr>
          <w:rFonts w:ascii="Arial" w:hAnsi="Arial" w:cs="Arial"/>
        </w:rPr>
        <w:t xml:space="preserve"> </w:t>
      </w:r>
      <w:r w:rsidRPr="00E574FA">
        <w:rPr>
          <w:rFonts w:ascii="Arial" w:hAnsi="Arial" w:cs="Arial"/>
        </w:rPr>
        <w:t>sukladno</w:t>
      </w:r>
      <w:r w:rsidRPr="00D505C1">
        <w:rPr>
          <w:rFonts w:ascii="Arial" w:hAnsi="Arial" w:cs="Arial"/>
        </w:rPr>
        <w:t xml:space="preserve"> Metodologiji o utvrđivanju podrijetla električne energije (Narodne novine, br. 133/14, 127/19)</w:t>
      </w:r>
      <w:r>
        <w:rPr>
          <w:rFonts w:ascii="Arial" w:hAnsi="Arial" w:cs="Arial"/>
        </w:rPr>
        <w:t>.</w:t>
      </w:r>
    </w:p>
    <w:p w14:paraId="1781281E" w14:textId="00746755" w:rsidR="004C79E8" w:rsidRDefault="004C79E8" w:rsidP="00D505C1">
      <w:pPr>
        <w:tabs>
          <w:tab w:val="left" w:pos="333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Podaci</w:t>
      </w:r>
      <w:r w:rsidR="00191117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se odnose na razdoblje od početka obračuna umanjenja naknade za </w:t>
      </w:r>
      <w:proofErr w:type="spellStart"/>
      <w:r>
        <w:rPr>
          <w:rFonts w:ascii="Arial" w:hAnsi="Arial" w:cs="Arial"/>
        </w:rPr>
        <w:t>OIEiK</w:t>
      </w:r>
      <w:proofErr w:type="spellEnd"/>
      <w:r>
        <w:rPr>
          <w:rFonts w:ascii="Arial" w:hAnsi="Arial" w:cs="Arial"/>
        </w:rPr>
        <w:t xml:space="preserve"> do dana dostave istih HROTE-u (</w:t>
      </w:r>
      <w:r w:rsidRPr="006251B2">
        <w:rPr>
          <w:rFonts w:ascii="Arial" w:hAnsi="Arial" w:cs="Arial"/>
        </w:rPr>
        <w:t xml:space="preserve">najranije 60 dana do najkasnije 30 dana prije isteka </w:t>
      </w:r>
      <w:r w:rsidR="00501440">
        <w:rPr>
          <w:rFonts w:ascii="Arial" w:hAnsi="Arial" w:cs="Arial"/>
        </w:rPr>
        <w:t>prava na umanjenje naknade</w:t>
      </w:r>
      <w:r>
        <w:rPr>
          <w:rFonts w:ascii="Arial" w:hAnsi="Arial" w:cs="Arial"/>
        </w:rPr>
        <w:t>).</w:t>
      </w:r>
    </w:p>
    <w:tbl>
      <w:tblPr>
        <w:tblStyle w:val="TableGrid"/>
        <w:tblW w:w="9175" w:type="dxa"/>
        <w:tblInd w:w="0" w:type="dxa"/>
        <w:tblLook w:val="04A0" w:firstRow="1" w:lastRow="0" w:firstColumn="1" w:lastColumn="0" w:noHBand="0" w:noVBand="1"/>
      </w:tblPr>
      <w:tblGrid>
        <w:gridCol w:w="1165"/>
        <w:gridCol w:w="1710"/>
        <w:gridCol w:w="2610"/>
        <w:gridCol w:w="1890"/>
        <w:gridCol w:w="1800"/>
      </w:tblGrid>
      <w:tr w:rsidR="00852B94" w14:paraId="7ACAE827" w14:textId="3940CAEC" w:rsidTr="00852B94">
        <w:trPr>
          <w:trHeight w:val="638"/>
        </w:trPr>
        <w:tc>
          <w:tcPr>
            <w:tcW w:w="1165" w:type="dxa"/>
          </w:tcPr>
          <w:p w14:paraId="36782BFA" w14:textId="77777777" w:rsidR="00852B94" w:rsidRDefault="00852B94" w:rsidP="00E02213">
            <w:pPr>
              <w:tabs>
                <w:tab w:val="left" w:pos="3337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06742BEA" w14:textId="77777777" w:rsidR="00852B94" w:rsidRDefault="00852B94" w:rsidP="00E02213">
            <w:pPr>
              <w:tabs>
                <w:tab w:val="left" w:pos="3337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30B8576A" w14:textId="3B3BF6B4" w:rsidR="00852B94" w:rsidRPr="00E02213" w:rsidRDefault="00852B94" w:rsidP="00E02213">
            <w:pPr>
              <w:tabs>
                <w:tab w:val="left" w:pos="3337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E02213">
              <w:rPr>
                <w:rFonts w:ascii="Arial" w:hAnsi="Arial" w:cs="Arial"/>
                <w:b/>
                <w:bCs/>
              </w:rPr>
              <w:t>Godina</w:t>
            </w:r>
          </w:p>
        </w:tc>
        <w:tc>
          <w:tcPr>
            <w:tcW w:w="1710" w:type="dxa"/>
          </w:tcPr>
          <w:p w14:paraId="7BE564F5" w14:textId="77777777" w:rsidR="00852B94" w:rsidRDefault="00852B94" w:rsidP="00E02213">
            <w:pPr>
              <w:tabs>
                <w:tab w:val="left" w:pos="3337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1B4381BF" w14:textId="77777777" w:rsidR="00852B94" w:rsidRDefault="00852B94" w:rsidP="00E02213">
            <w:pPr>
              <w:tabs>
                <w:tab w:val="left" w:pos="3337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503C835E" w14:textId="2A5F0B5C" w:rsidR="00852B94" w:rsidRPr="00E02213" w:rsidRDefault="00852B94" w:rsidP="00E02213">
            <w:pPr>
              <w:tabs>
                <w:tab w:val="left" w:pos="3337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Razdoblje</w:t>
            </w:r>
          </w:p>
        </w:tc>
        <w:tc>
          <w:tcPr>
            <w:tcW w:w="2610" w:type="dxa"/>
          </w:tcPr>
          <w:p w14:paraId="1857E5EF" w14:textId="77777777" w:rsidR="00852B94" w:rsidRDefault="00852B94" w:rsidP="00E02213">
            <w:pPr>
              <w:tabs>
                <w:tab w:val="left" w:pos="3337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2AFE4584" w14:textId="07D52E25" w:rsidR="00852B94" w:rsidRPr="00E02213" w:rsidRDefault="00852B94" w:rsidP="00E02213">
            <w:pPr>
              <w:tabs>
                <w:tab w:val="left" w:pos="3337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E02213">
              <w:rPr>
                <w:rFonts w:ascii="Arial" w:hAnsi="Arial" w:cs="Arial"/>
                <w:b/>
                <w:bCs/>
              </w:rPr>
              <w:t>Udio OIE u potrošnji električne energije poduzetnika (%)</w:t>
            </w:r>
          </w:p>
        </w:tc>
        <w:tc>
          <w:tcPr>
            <w:tcW w:w="1890" w:type="dxa"/>
          </w:tcPr>
          <w:p w14:paraId="0E079E42" w14:textId="77777777" w:rsidR="00852B94" w:rsidRDefault="00852B94" w:rsidP="00E02213">
            <w:pPr>
              <w:tabs>
                <w:tab w:val="left" w:pos="3337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77BDA1C8" w14:textId="7F1CC6E8" w:rsidR="00852B94" w:rsidRPr="00E02213" w:rsidRDefault="00852B94" w:rsidP="00E02213">
            <w:pPr>
              <w:tabs>
                <w:tab w:val="left" w:pos="3337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Ukupna p</w:t>
            </w:r>
            <w:r w:rsidRPr="00E02213">
              <w:rPr>
                <w:rFonts w:ascii="Arial" w:hAnsi="Arial" w:cs="Arial"/>
                <w:b/>
                <w:bCs/>
              </w:rPr>
              <w:t>otrošnja električne energije (kWh)</w:t>
            </w:r>
          </w:p>
        </w:tc>
        <w:tc>
          <w:tcPr>
            <w:tcW w:w="1800" w:type="dxa"/>
          </w:tcPr>
          <w:p w14:paraId="05B59AC7" w14:textId="03B4AEA7" w:rsidR="00852B94" w:rsidRDefault="00852B94" w:rsidP="00A1371A">
            <w:pPr>
              <w:tabs>
                <w:tab w:val="left" w:pos="3337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Pr="00381794">
              <w:rPr>
                <w:rFonts w:ascii="Arial" w:hAnsi="Arial" w:cs="Arial"/>
                <w:b/>
                <w:bCs/>
              </w:rPr>
              <w:t xml:space="preserve">otrošnja električne energije </w:t>
            </w:r>
            <w:r>
              <w:rPr>
                <w:rFonts w:ascii="Arial" w:hAnsi="Arial" w:cs="Arial"/>
                <w:b/>
                <w:bCs/>
              </w:rPr>
              <w:t xml:space="preserve">za koja su ukinuta jamstva podrijetla </w:t>
            </w:r>
            <w:r w:rsidRPr="00381794">
              <w:rPr>
                <w:rFonts w:ascii="Arial" w:hAnsi="Arial" w:cs="Arial"/>
                <w:b/>
                <w:bCs/>
              </w:rPr>
              <w:t>(kWh)</w:t>
            </w:r>
          </w:p>
        </w:tc>
      </w:tr>
      <w:tr w:rsidR="00852B94" w14:paraId="5F450AD3" w14:textId="22FF6C02" w:rsidTr="00852B94">
        <w:trPr>
          <w:trHeight w:val="576"/>
        </w:trPr>
        <w:tc>
          <w:tcPr>
            <w:tcW w:w="1165" w:type="dxa"/>
          </w:tcPr>
          <w:p w14:paraId="06235F3F" w14:textId="77777777" w:rsidR="00FD0EB4" w:rsidRDefault="00FD0EB4" w:rsidP="00FD0EB4">
            <w:pPr>
              <w:tabs>
                <w:tab w:val="left" w:pos="3337"/>
              </w:tabs>
              <w:jc w:val="center"/>
              <w:rPr>
                <w:rFonts w:ascii="Arial" w:hAnsi="Arial" w:cs="Arial"/>
              </w:rPr>
            </w:pPr>
          </w:p>
          <w:p w14:paraId="55391368" w14:textId="1D7F3E50" w:rsidR="00852B94" w:rsidRDefault="00FD0EB4" w:rsidP="00FD0EB4">
            <w:pPr>
              <w:tabs>
                <w:tab w:val="left" w:pos="333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191117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710" w:type="dxa"/>
          </w:tcPr>
          <w:p w14:paraId="6005232C" w14:textId="77777777" w:rsidR="00852B94" w:rsidRDefault="00852B94" w:rsidP="00A1371A">
            <w:pPr>
              <w:tabs>
                <w:tab w:val="left" w:pos="3337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09AA64B6" w14:textId="3C889D3E" w:rsidR="00852B94" w:rsidRDefault="00852B94" w:rsidP="00A1371A">
            <w:pPr>
              <w:tabs>
                <w:tab w:val="left" w:pos="3337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68E64B1E" w14:textId="0EFDF5FC" w:rsidR="00852B94" w:rsidRPr="007D0FDE" w:rsidRDefault="00852B94" w:rsidP="00A1371A">
            <w:pPr>
              <w:tabs>
                <w:tab w:val="left" w:pos="3337"/>
              </w:tabs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3BDF468B" w14:textId="5F8CCC33" w:rsidR="00852B94" w:rsidRDefault="00852B94" w:rsidP="00A1371A">
            <w:pPr>
              <w:tabs>
                <w:tab w:val="left" w:pos="3337"/>
              </w:tabs>
              <w:jc w:val="both"/>
              <w:rPr>
                <w:rFonts w:ascii="Arial" w:hAnsi="Arial" w:cs="Arial"/>
              </w:rPr>
            </w:pPr>
          </w:p>
        </w:tc>
      </w:tr>
      <w:tr w:rsidR="00852B94" w14:paraId="5A4DFC31" w14:textId="7FA216B6" w:rsidTr="00852B94">
        <w:trPr>
          <w:trHeight w:val="576"/>
        </w:trPr>
        <w:tc>
          <w:tcPr>
            <w:tcW w:w="1165" w:type="dxa"/>
          </w:tcPr>
          <w:p w14:paraId="0E37EC00" w14:textId="77777777" w:rsidR="00FD0EB4" w:rsidRDefault="00FD0EB4" w:rsidP="00FD0EB4">
            <w:pPr>
              <w:tabs>
                <w:tab w:val="left" w:pos="3337"/>
              </w:tabs>
              <w:jc w:val="center"/>
              <w:rPr>
                <w:rFonts w:ascii="Arial" w:hAnsi="Arial" w:cs="Arial"/>
              </w:rPr>
            </w:pPr>
          </w:p>
          <w:p w14:paraId="76BD28E0" w14:textId="794E9925" w:rsidR="00852B94" w:rsidRDefault="00FD0EB4" w:rsidP="00FD0EB4">
            <w:pPr>
              <w:tabs>
                <w:tab w:val="left" w:pos="333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191117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710" w:type="dxa"/>
          </w:tcPr>
          <w:p w14:paraId="205D92C4" w14:textId="77777777" w:rsidR="00852B94" w:rsidRDefault="00852B94" w:rsidP="00A1371A">
            <w:pPr>
              <w:tabs>
                <w:tab w:val="left" w:pos="3337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610" w:type="dxa"/>
          </w:tcPr>
          <w:p w14:paraId="51D60C9D" w14:textId="40232C0C" w:rsidR="00852B94" w:rsidRDefault="00852B94" w:rsidP="00A1371A">
            <w:pPr>
              <w:tabs>
                <w:tab w:val="left" w:pos="3337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1BAECAF7" w14:textId="07FA33DD" w:rsidR="00852B94" w:rsidRDefault="00852B94" w:rsidP="00A1371A">
            <w:pPr>
              <w:tabs>
                <w:tab w:val="left" w:pos="3337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084E4A9E" w14:textId="3FD275B3" w:rsidR="00852B94" w:rsidRDefault="00852B94" w:rsidP="00852B94">
            <w:pPr>
              <w:tabs>
                <w:tab w:val="left" w:pos="3337"/>
              </w:tabs>
              <w:ind w:right="2146"/>
              <w:jc w:val="both"/>
              <w:rPr>
                <w:rFonts w:ascii="Arial" w:hAnsi="Arial" w:cs="Arial"/>
              </w:rPr>
            </w:pPr>
          </w:p>
        </w:tc>
      </w:tr>
    </w:tbl>
    <w:p w14:paraId="7D1CF753" w14:textId="77777777" w:rsidR="00D505C1" w:rsidRPr="00D505C1" w:rsidRDefault="00D505C1" w:rsidP="00D505C1">
      <w:pPr>
        <w:tabs>
          <w:tab w:val="left" w:pos="3337"/>
        </w:tabs>
        <w:jc w:val="both"/>
        <w:rPr>
          <w:rFonts w:ascii="Arial" w:hAnsi="Arial" w:cs="Arial"/>
        </w:rPr>
      </w:pPr>
    </w:p>
    <w:p w14:paraId="218F8E1E" w14:textId="313D7364" w:rsidR="00D505C1" w:rsidRPr="00D505C1" w:rsidRDefault="0047104E" w:rsidP="00D505C1">
      <w:pPr>
        <w:tabs>
          <w:tab w:val="left" w:pos="333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U _________, dana _________ godine.</w:t>
      </w:r>
    </w:p>
    <w:p w14:paraId="47DF5F31" w14:textId="77777777" w:rsidR="00D505C1" w:rsidRPr="00D505C1" w:rsidRDefault="00D505C1" w:rsidP="00D505C1">
      <w:pPr>
        <w:tabs>
          <w:tab w:val="left" w:pos="3337"/>
        </w:tabs>
        <w:jc w:val="both"/>
        <w:rPr>
          <w:rFonts w:ascii="Arial" w:hAnsi="Arial" w:cs="Arial"/>
        </w:rPr>
      </w:pPr>
    </w:p>
    <w:p w14:paraId="628D9D23" w14:textId="64AC7C52" w:rsidR="00D505C1" w:rsidRDefault="005B2DA6" w:rsidP="00E02213">
      <w:pPr>
        <w:tabs>
          <w:tab w:val="left" w:pos="3337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ODGOVORNA OSOBA</w:t>
      </w:r>
    </w:p>
    <w:p w14:paraId="5A676B82" w14:textId="3AD03DAE" w:rsidR="005B2DA6" w:rsidRDefault="005B2DA6" w:rsidP="00E02213">
      <w:pPr>
        <w:tabs>
          <w:tab w:val="left" w:pos="3337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Potpis i pečat</w:t>
      </w:r>
    </w:p>
    <w:p w14:paraId="090BF52C" w14:textId="77777777" w:rsidR="00191117" w:rsidRDefault="00191117" w:rsidP="00191117">
      <w:pPr>
        <w:tabs>
          <w:tab w:val="left" w:pos="3337"/>
        </w:tabs>
        <w:rPr>
          <w:rFonts w:ascii="Arial" w:hAnsi="Arial" w:cs="Arial"/>
        </w:rPr>
      </w:pPr>
    </w:p>
    <w:p w14:paraId="0A83BA24" w14:textId="7D820E6D" w:rsidR="00191117" w:rsidRPr="00191117" w:rsidRDefault="00191117" w:rsidP="00191117">
      <w:pPr>
        <w:tabs>
          <w:tab w:val="left" w:pos="3337"/>
        </w:tabs>
        <w:jc w:val="both"/>
        <w:rPr>
          <w:rFonts w:ascii="Arial" w:hAnsi="Arial" w:cs="Arial"/>
          <w:i/>
          <w:iCs/>
        </w:rPr>
      </w:pPr>
      <w:r w:rsidRPr="00191117">
        <w:rPr>
          <w:rFonts w:ascii="Arial" w:hAnsi="Arial" w:cs="Arial"/>
          <w:i/>
          <w:iCs/>
        </w:rPr>
        <w:t xml:space="preserve">*Potrebno je dokazati minimalno 60% iz OIE od ukupne potrošnje u razdoblju korištenja prava na umanjenje naknade za </w:t>
      </w:r>
      <w:proofErr w:type="spellStart"/>
      <w:r w:rsidRPr="00191117">
        <w:rPr>
          <w:rFonts w:ascii="Arial" w:hAnsi="Arial" w:cs="Arial"/>
          <w:i/>
          <w:iCs/>
        </w:rPr>
        <w:t>OIEiK</w:t>
      </w:r>
      <w:proofErr w:type="spellEnd"/>
      <w:r w:rsidRPr="00191117">
        <w:rPr>
          <w:rFonts w:ascii="Arial" w:hAnsi="Arial" w:cs="Arial"/>
          <w:i/>
          <w:iCs/>
        </w:rPr>
        <w:t>, te ova izjava treba sadržavati podatke za razdoblje važenja rješenja HROTE-a odvojeno po svakoj godini korištenja (ako je istim rješenjem obuhvaćeno razdoblje unutar dvije različite godine</w:t>
      </w:r>
      <w:r w:rsidR="004F0CA4">
        <w:rPr>
          <w:rFonts w:ascii="Arial" w:hAnsi="Arial" w:cs="Arial"/>
          <w:i/>
          <w:iCs/>
        </w:rPr>
        <w:t>, npr. od 1.5.2025. do 31.12.2025. te od 1.1.2026. do trenutka izdavanja</w:t>
      </w:r>
      <w:r w:rsidRPr="00191117">
        <w:rPr>
          <w:rFonts w:ascii="Arial" w:hAnsi="Arial" w:cs="Arial"/>
          <w:i/>
          <w:iCs/>
        </w:rPr>
        <w:t>), pri čemu uvjet od minimalno 60% treba biti utvrđen od ukupne potrošnje u cjelokupnom referentnom razdoblju.</w:t>
      </w:r>
    </w:p>
    <w:sectPr w:rsidR="00191117" w:rsidRPr="00191117" w:rsidSect="00B42365">
      <w:headerReference w:type="default" r:id="rId10"/>
      <w:footerReference w:type="default" r:id="rId11"/>
      <w:pgSz w:w="11906" w:h="16838" w:code="9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74713" w14:textId="77777777" w:rsidR="00264C23" w:rsidRDefault="00264C23" w:rsidP="00624873">
      <w:pPr>
        <w:spacing w:after="0" w:line="240" w:lineRule="auto"/>
      </w:pPr>
      <w:r>
        <w:separator/>
      </w:r>
    </w:p>
  </w:endnote>
  <w:endnote w:type="continuationSeparator" w:id="0">
    <w:p w14:paraId="37D6C01D" w14:textId="77777777" w:rsidR="00264C23" w:rsidRDefault="00264C23" w:rsidP="00624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C7BE" w14:textId="7F0BD14E" w:rsidR="00624873" w:rsidRDefault="00A6368F" w:rsidP="00BC46A4">
    <w:pPr>
      <w:pStyle w:val="Footer"/>
      <w:ind w:right="-694"/>
      <w:jc w:val="right"/>
    </w:pPr>
    <w:r w:rsidRPr="00A902E3">
      <w:rPr>
        <w:rFonts w:ascii="Times New Roman" w:eastAsia="Times New Roman" w:hAnsi="Times New Roman" w:cs="Times New Roman"/>
        <w:noProof/>
        <w:sz w:val="24"/>
        <w:szCs w:val="24"/>
        <w:lang w:eastAsia="hr-HR"/>
      </w:rPr>
      <mc:AlternateContent>
        <mc:Choice Requires="wps">
          <w:drawing>
            <wp:anchor distT="45720" distB="45720" distL="114300" distR="114300" simplePos="0" relativeHeight="251677184" behindDoc="0" locked="0" layoutInCell="1" allowOverlap="1" wp14:anchorId="4E07D3FE" wp14:editId="1D5C8D5E">
              <wp:simplePos x="0" y="0"/>
              <wp:positionH relativeFrom="margin">
                <wp:posOffset>-744318</wp:posOffset>
              </wp:positionH>
              <wp:positionV relativeFrom="paragraph">
                <wp:posOffset>194310</wp:posOffset>
              </wp:positionV>
              <wp:extent cx="8030210" cy="50355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0210" cy="5035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05B34F" w14:textId="77777777" w:rsidR="00382559" w:rsidRDefault="00382559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07D3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8.6pt;margin-top:15.3pt;width:632.3pt;height:39.65pt;z-index:2516771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" filled="f" stroked="f">
              <v:textbox style="mso-fit-shape-to-text:t">
                <w:txbxContent>
                  <w:p w14:paraId="6905B34F" w14:textId="77777777" w:rsidR="00382559" w:rsidRDefault="00382559"/>
                </w:txbxContent>
              </v:textbox>
              <w10:wrap type="square" anchorx="margin"/>
            </v:shape>
          </w:pict>
        </mc:Fallback>
      </mc:AlternateContent>
    </w:r>
    <w:r w:rsidR="00BC46A4">
      <w:t xml:space="preserve">                                                                                                                                                                                                                      </w:t>
    </w:r>
    <w:r w:rsidR="00A902E3" w:rsidRPr="00BC46A4">
      <w:rPr>
        <w:noProof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65B72" w14:textId="77777777" w:rsidR="00264C23" w:rsidRDefault="00264C23" w:rsidP="00624873">
      <w:pPr>
        <w:spacing w:after="0" w:line="240" w:lineRule="auto"/>
      </w:pPr>
      <w:r>
        <w:separator/>
      </w:r>
    </w:p>
  </w:footnote>
  <w:footnote w:type="continuationSeparator" w:id="0">
    <w:p w14:paraId="75B321F5" w14:textId="77777777" w:rsidR="00264C23" w:rsidRDefault="00264C23" w:rsidP="00624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A021A" w14:textId="5E0CD1C8" w:rsidR="00624873" w:rsidRDefault="002A5F99">
    <w:pPr>
      <w:pStyle w:val="Header"/>
    </w:pPr>
    <w: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A6A62"/>
    <w:multiLevelType w:val="hybridMultilevel"/>
    <w:tmpl w:val="6E88C540"/>
    <w:lvl w:ilvl="0" w:tplc="9B30E7F6">
      <w:start w:val="32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4B009D3A">
      <w:numFmt w:val="bullet"/>
      <w:lvlText w:val="–"/>
      <w:lvlJc w:val="left"/>
      <w:pPr>
        <w:ind w:left="2496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568466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B3B"/>
    <w:rsid w:val="00067ADE"/>
    <w:rsid w:val="00091924"/>
    <w:rsid w:val="000B4C81"/>
    <w:rsid w:val="00126AD3"/>
    <w:rsid w:val="00154EFB"/>
    <w:rsid w:val="00191117"/>
    <w:rsid w:val="001B3E6E"/>
    <w:rsid w:val="001B3FD4"/>
    <w:rsid w:val="001B59FE"/>
    <w:rsid w:val="00205B3B"/>
    <w:rsid w:val="00212AE6"/>
    <w:rsid w:val="00214791"/>
    <w:rsid w:val="00221143"/>
    <w:rsid w:val="00235F8D"/>
    <w:rsid w:val="00262300"/>
    <w:rsid w:val="00264B1C"/>
    <w:rsid w:val="00264C23"/>
    <w:rsid w:val="002A5F99"/>
    <w:rsid w:val="00352C4F"/>
    <w:rsid w:val="00382559"/>
    <w:rsid w:val="00394E57"/>
    <w:rsid w:val="0047104E"/>
    <w:rsid w:val="004C79E8"/>
    <w:rsid w:val="004F0CA4"/>
    <w:rsid w:val="00501440"/>
    <w:rsid w:val="0057057A"/>
    <w:rsid w:val="005955DD"/>
    <w:rsid w:val="005B2DA6"/>
    <w:rsid w:val="005B4DAB"/>
    <w:rsid w:val="005C6105"/>
    <w:rsid w:val="00624873"/>
    <w:rsid w:val="00642DCC"/>
    <w:rsid w:val="00660CAC"/>
    <w:rsid w:val="0068373F"/>
    <w:rsid w:val="006B38A4"/>
    <w:rsid w:val="006E020B"/>
    <w:rsid w:val="006E6AC1"/>
    <w:rsid w:val="0075676E"/>
    <w:rsid w:val="00770F30"/>
    <w:rsid w:val="007C15CB"/>
    <w:rsid w:val="007D0FDE"/>
    <w:rsid w:val="008013A5"/>
    <w:rsid w:val="00815148"/>
    <w:rsid w:val="00852B94"/>
    <w:rsid w:val="008E6DB7"/>
    <w:rsid w:val="009433AD"/>
    <w:rsid w:val="0094495F"/>
    <w:rsid w:val="00973BF8"/>
    <w:rsid w:val="009F4AC2"/>
    <w:rsid w:val="00A03FF0"/>
    <w:rsid w:val="00A1371A"/>
    <w:rsid w:val="00A313AB"/>
    <w:rsid w:val="00A45C68"/>
    <w:rsid w:val="00A46BBC"/>
    <w:rsid w:val="00A5487F"/>
    <w:rsid w:val="00A6368F"/>
    <w:rsid w:val="00A902E3"/>
    <w:rsid w:val="00AA2AA6"/>
    <w:rsid w:val="00B21454"/>
    <w:rsid w:val="00B33585"/>
    <w:rsid w:val="00B42365"/>
    <w:rsid w:val="00B82168"/>
    <w:rsid w:val="00BC46A4"/>
    <w:rsid w:val="00BC5571"/>
    <w:rsid w:val="00D505C1"/>
    <w:rsid w:val="00D55547"/>
    <w:rsid w:val="00D72BD1"/>
    <w:rsid w:val="00E02213"/>
    <w:rsid w:val="00E05348"/>
    <w:rsid w:val="00E471A8"/>
    <w:rsid w:val="00E574FA"/>
    <w:rsid w:val="00E613F7"/>
    <w:rsid w:val="00EC0011"/>
    <w:rsid w:val="00ED71DE"/>
    <w:rsid w:val="00EF3E4B"/>
    <w:rsid w:val="00F63084"/>
    <w:rsid w:val="00F65368"/>
    <w:rsid w:val="00FD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A7601"/>
  <w15:docId w15:val="{C10027FB-2F8A-4721-B773-8DA907B4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4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873"/>
  </w:style>
  <w:style w:type="paragraph" w:styleId="Footer">
    <w:name w:val="footer"/>
    <w:basedOn w:val="Normal"/>
    <w:link w:val="FooterChar"/>
    <w:uiPriority w:val="99"/>
    <w:unhideWhenUsed/>
    <w:rsid w:val="006248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873"/>
  </w:style>
  <w:style w:type="paragraph" w:styleId="BalloonText">
    <w:name w:val="Balloon Text"/>
    <w:basedOn w:val="Normal"/>
    <w:link w:val="BalloonTextChar"/>
    <w:uiPriority w:val="99"/>
    <w:semiHidden/>
    <w:unhideWhenUsed/>
    <w:rsid w:val="00624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8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902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2E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35F8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05C1"/>
    <w:pPr>
      <w:ind w:left="720"/>
      <w:contextualSpacing/>
    </w:pPr>
  </w:style>
  <w:style w:type="paragraph" w:styleId="Revision">
    <w:name w:val="Revision"/>
    <w:hidden/>
    <w:uiPriority w:val="99"/>
    <w:semiHidden/>
    <w:rsid w:val="0057057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C15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15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15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5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olanca\AppData\Local\Microsoft\Windows\INetCache\Content.Outlook\DBV70IGD\HROTE_memorandum%20sa%20iso%20oznakama%20062023%20(00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4F1940446ED14EA081CA235DD8FED5" ma:contentTypeVersion="1" ma:contentTypeDescription="Stvaranje novog dokumenta." ma:contentTypeScope="" ma:versionID="d2add7cc8940b7b9e16d3adc6b90757c">
  <xsd:schema xmlns:xsd="http://www.w3.org/2001/XMLSchema" xmlns:xs="http://www.w3.org/2001/XMLSchema" xmlns:p="http://schemas.microsoft.com/office/2006/metadata/properties" xmlns:ns2="9378ee18-36ea-4734-930d-39094cb2dac0" targetNamespace="http://schemas.microsoft.com/office/2006/metadata/properties" ma:root="true" ma:fieldsID="6996a5beaae1b0497b03b513c3e69be3" ns2:_="">
    <xsd:import namespace="9378ee18-36ea-4734-930d-39094cb2dac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8ee18-36ea-4734-930d-39094cb2da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64279F-6418-4BEA-A5A2-E89AB5FA5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A888FF-16DF-44FA-8B02-7133BF5E1B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1AD456-E65B-4B5D-B408-B56381508D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78ee18-36ea-4734-930d-39094cb2da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HROTE_memorandum sa iso oznakama 062023 (002)</Template>
  <TotalTime>10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HROTE d.o.o.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Antonijo Bolanča</dc:creator>
  <cp:lastModifiedBy>Kristina Čolig</cp:lastModifiedBy>
  <cp:revision>8</cp:revision>
  <cp:lastPrinted>2023-09-26T08:50:00Z</cp:lastPrinted>
  <dcterms:created xsi:type="dcterms:W3CDTF">2024-05-15T08:06:00Z</dcterms:created>
  <dcterms:modified xsi:type="dcterms:W3CDTF">2026-04-16T14:45:00Z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0x010100744F1940446ED14EA081CA235DD8FED5</vt:lpwstr>
  </property>
</Properties>
</file>